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7217" w:rsidRPr="00AF2132" w:rsidRDefault="00DD25BB" w:rsidP="00AF2132">
      <w:pPr>
        <w:spacing w:before="100" w:beforeAutospacing="1" w:after="100" w:afterAutospacing="1"/>
        <w:jc w:val="center"/>
        <w:outlineLvl w:val="0"/>
        <w:rPr>
          <w:rFonts w:ascii="Times New Roman" w:eastAsia="Times New Roman" w:hAnsi="Times New Roman" w:cs="Times New Roman"/>
          <w:kern w:val="36"/>
          <w:sz w:val="32"/>
          <w:szCs w:val="32"/>
          <w14:ligatures w14:val="none"/>
        </w:rPr>
      </w:pPr>
      <w:r>
        <w:rPr>
          <w:rFonts w:ascii="Times New Roman" w:eastAsia="Times New Roman" w:hAnsi="Times New Roman" w:cs="Times New Roman"/>
          <w:kern w:val="36"/>
          <w:sz w:val="32"/>
          <w:szCs w:val="32"/>
          <w14:ligatures w14:val="none"/>
        </w:rPr>
        <w:t>Q&amp;A from</w:t>
      </w:r>
      <w:r w:rsidR="00867217" w:rsidRPr="00AF2132">
        <w:rPr>
          <w:rFonts w:ascii="Times New Roman" w:eastAsia="Times New Roman" w:hAnsi="Times New Roman" w:cs="Times New Roman"/>
          <w:kern w:val="36"/>
          <w:sz w:val="32"/>
          <w:szCs w:val="32"/>
          <w14:ligatures w14:val="none"/>
        </w:rPr>
        <w:t xml:space="preserve"> Second Story Housing Hub Event</w:t>
      </w:r>
    </w:p>
    <w:p w:rsidR="00867217" w:rsidRPr="00867217" w:rsidRDefault="00867217" w:rsidP="00AF2132">
      <w:pPr>
        <w:spacing w:before="100" w:beforeAutospacing="1" w:after="100" w:afterAutospacing="1"/>
        <w:jc w:val="center"/>
        <w:outlineLvl w:val="1"/>
        <w:rPr>
          <w:rFonts w:ascii="Times New Roman" w:eastAsia="Times New Roman" w:hAnsi="Times New Roman" w:cs="Times New Roman"/>
          <w:b/>
          <w:bCs/>
          <w:kern w:val="0"/>
          <w:sz w:val="48"/>
          <w:szCs w:val="48"/>
          <w14:ligatures w14:val="none"/>
        </w:rPr>
      </w:pPr>
      <w:r w:rsidRPr="00867217">
        <w:rPr>
          <w:rFonts w:ascii="Times New Roman" w:eastAsia="Times New Roman" w:hAnsi="Times New Roman" w:cs="Times New Roman"/>
          <w:b/>
          <w:bCs/>
          <w:kern w:val="0"/>
          <w:sz w:val="48"/>
          <w:szCs w:val="48"/>
          <w14:ligatures w14:val="none"/>
        </w:rPr>
        <w:t>Is My Building a Housing Opportunity?</w:t>
      </w:r>
    </w:p>
    <w:p w:rsidR="00DD25BB" w:rsidRPr="00DD25BB" w:rsidRDefault="00DD25BB" w:rsidP="00DD25BB">
      <w:pPr>
        <w:shd w:val="clear" w:color="auto" w:fill="FFFFFF"/>
        <w:rPr>
          <w:rFonts w:ascii="Times New Roman" w:eastAsia="Times New Roman" w:hAnsi="Times New Roman" w:cs="Times New Roman"/>
          <w:color w:val="222222"/>
          <w:kern w:val="0"/>
          <w14:ligatures w14:val="none"/>
        </w:rPr>
      </w:pP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What should someone know first when considering the conversion of part of a building to residential use?</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Ms. Crane: Permit compliance is an important early consideration. The Planning Department can help owners understand applicable requirements.</w:t>
      </w:r>
      <w:r w:rsidRPr="00DD25BB">
        <w:rPr>
          <w:rFonts w:ascii="Times New Roman" w:eastAsia="Times New Roman" w:hAnsi="Times New Roman" w:cs="Times New Roman"/>
          <w:color w:val="222222"/>
          <w:kern w:val="0"/>
          <w14:ligatures w14:val="none"/>
        </w:rPr>
        <w:br/>
        <w:t>- Ms. Duke: Begin with a feasibility study to determine whether the proposed project is financially viable and worth the investment.</w:t>
      </w:r>
      <w:r w:rsidRPr="00DD25BB">
        <w:rPr>
          <w:rFonts w:ascii="Times New Roman" w:eastAsia="Times New Roman" w:hAnsi="Times New Roman" w:cs="Times New Roman"/>
          <w:color w:val="222222"/>
          <w:kern w:val="0"/>
          <w14:ligatures w14:val="none"/>
        </w:rPr>
        <w:br/>
        <w:t>- Mr. Glick: Patience is essential. Numerous resources may be available, but assembling them can take considerable time.</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What makes a building a promising candidate for residential conversion?</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Mr. Glick: Former office buildings, hotels, and churches can often be promising candidates. Historic buildings may be more adaptable than contemporary buildings because of their layouts.</w:t>
      </w:r>
      <w:r w:rsidRPr="00DD25BB">
        <w:rPr>
          <w:rFonts w:ascii="Times New Roman" w:eastAsia="Times New Roman" w:hAnsi="Times New Roman" w:cs="Times New Roman"/>
          <w:color w:val="222222"/>
          <w:kern w:val="0"/>
          <w14:ligatures w14:val="none"/>
        </w:rPr>
        <w:br/>
        <w:t>- Ms. Duke: Project scale affects feasibility, and larger buildings can sometimes be easier to complete because of economies of scale. She also discussed the historic tax credit and noted that syndication may be possible when using the credit, which can help finance a project.</w:t>
      </w:r>
      <w:r w:rsidRPr="00DD25BB">
        <w:rPr>
          <w:rFonts w:ascii="Times New Roman" w:eastAsia="Times New Roman" w:hAnsi="Times New Roman" w:cs="Times New Roman"/>
          <w:color w:val="222222"/>
          <w:kern w:val="0"/>
          <w14:ligatures w14:val="none"/>
        </w:rPr>
        <w:br/>
        <w:t>- Ms. Crane: Zoning changes underway in Butte are intended to make the area more accommodating to residential uses.</w:t>
      </w:r>
      <w:r w:rsidRPr="00DD25BB">
        <w:rPr>
          <w:rFonts w:ascii="Times New Roman" w:eastAsia="Times New Roman" w:hAnsi="Times New Roman" w:cs="Times New Roman"/>
          <w:color w:val="222222"/>
          <w:kern w:val="0"/>
          <w14:ligatures w14:val="none"/>
        </w:rPr>
        <w:br/>
        <w:t>- Ms. McCourt: Buildings previously used as boarding houses may be suitable candidates for residential conversion.</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What should an owner investigate before starting a residential conversion project?</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Ms. McCourt: Owners should evaluate historic tax credits, location, Americans with Disabilities Act compliance, parking options, and the building layout.</w:t>
      </w:r>
      <w:r w:rsidRPr="00DD25BB">
        <w:rPr>
          <w:rFonts w:ascii="Times New Roman" w:eastAsia="Times New Roman" w:hAnsi="Times New Roman" w:cs="Times New Roman"/>
          <w:color w:val="222222"/>
          <w:kern w:val="0"/>
          <w14:ligatures w14:val="none"/>
        </w:rPr>
        <w:br/>
        <w:t>- Ms. Crane: Owners should determine early whether an elevator or sprinkler system will be required, as both can add substantial cost.</w:t>
      </w:r>
      <w:r w:rsidRPr="00DD25BB">
        <w:rPr>
          <w:rFonts w:ascii="Times New Roman" w:eastAsia="Times New Roman" w:hAnsi="Times New Roman" w:cs="Times New Roman"/>
          <w:color w:val="222222"/>
          <w:kern w:val="0"/>
          <w14:ligatures w14:val="none"/>
        </w:rPr>
        <w:br/>
        <w:t>- Ms. Duke: A code analysis is important. A brownfields assessment may also be helpful. The Montana Department of Environmental Quality may provide an assessment at no cost, although the process may take approximately one year. Afterward, qualifying entities may be eligible for free or low-interest abatement assistance through the brownfields program.</w:t>
      </w:r>
      <w:r w:rsidRPr="00DD25BB">
        <w:rPr>
          <w:rFonts w:ascii="Times New Roman" w:eastAsia="Times New Roman" w:hAnsi="Times New Roman" w:cs="Times New Roman"/>
          <w:color w:val="222222"/>
          <w:kern w:val="0"/>
          <w14:ligatures w14:val="none"/>
        </w:rPr>
        <w:br/>
        <w:t>- Mr. Glick: Complete a feasibility study and “look before you leap.”</w:t>
      </w:r>
      <w:r w:rsidRPr="00DD25BB">
        <w:rPr>
          <w:rFonts w:ascii="Times New Roman" w:eastAsia="Times New Roman" w:hAnsi="Times New Roman" w:cs="Times New Roman"/>
          <w:color w:val="222222"/>
          <w:kern w:val="0"/>
          <w14:ligatures w14:val="none"/>
        </w:rPr>
        <w:br/>
        <w:t>- Nancy: The Urban Renewal Agency may pay up to 50 percent of a feasibility-study cost. Interested parties were advised to contact Pauline for more information.</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How can a Butte property become financially viable enough for its owner to earn a profit?</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xml:space="preserve">- Ms. Duke: Longview Development partners with building owners to make projects financially </w:t>
      </w:r>
      <w:r w:rsidRPr="00DD25BB">
        <w:rPr>
          <w:rFonts w:ascii="Times New Roman" w:eastAsia="Times New Roman" w:hAnsi="Times New Roman" w:cs="Times New Roman"/>
          <w:color w:val="222222"/>
          <w:kern w:val="0"/>
          <w14:ligatures w14:val="none"/>
        </w:rPr>
        <w:lastRenderedPageBreak/>
        <w:t>viable. When a property generates income, the owner receives dividends from that income.</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Is Butte adopting housing-development guidelines related to low-income housing?</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Ms. Duke: Her company’s portfolio is approximately 80 percent workforce housing. Workforce housing can be more difficult to make financially viable than luxury housing, but resources are available to help lower-rent projects succeed.</w:t>
      </w:r>
      <w:r w:rsidRPr="00DD25BB">
        <w:rPr>
          <w:rFonts w:ascii="Times New Roman" w:eastAsia="Times New Roman" w:hAnsi="Times New Roman" w:cs="Times New Roman"/>
          <w:color w:val="222222"/>
          <w:kern w:val="0"/>
          <w14:ligatures w14:val="none"/>
        </w:rPr>
        <w:br/>
        <w:t>- Ms. Crane: The code update will allow housing in more zones, in part by reducing or eliminating minimum lot-size requirements. It will also permit more duplexes and accessory dwelling units in zones that allow residential uses.</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Can two separate buildings on one lot share the same water connection?</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Ms. Crane: If two buildings are served by one water connection, they must be sold together.</w:t>
      </w:r>
      <w:r w:rsidRPr="00DD25BB">
        <w:rPr>
          <w:rFonts w:ascii="Times New Roman" w:eastAsia="Times New Roman" w:hAnsi="Times New Roman" w:cs="Times New Roman"/>
          <w:color w:val="222222"/>
          <w:kern w:val="0"/>
          <w14:ligatures w14:val="none"/>
        </w:rPr>
        <w:br/>
        <w:t>- Mr. Glick: Affordable living, rather than solely affordable housing, should be a focus. Residential density is an important part of that discussion.</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When should historic preservation enter the planning process?</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Ms. McCourt: Historic preservation should be considered very early so that owners can take full advantage of available public incentives.</w:t>
      </w:r>
      <w:r w:rsidRPr="00DD25BB">
        <w:rPr>
          <w:rFonts w:ascii="Times New Roman" w:eastAsia="Times New Roman" w:hAnsi="Times New Roman" w:cs="Times New Roman"/>
          <w:color w:val="222222"/>
          <w:kern w:val="0"/>
          <w14:ligatures w14:val="none"/>
        </w:rPr>
        <w:br/>
        <w:t>- Ms. Duke: It should enter the conversation immediately if an owner intends to pursue the historic tax credit.</w:t>
      </w:r>
      <w:r w:rsidRPr="00DD25BB">
        <w:rPr>
          <w:rFonts w:ascii="Times New Roman" w:eastAsia="Times New Roman" w:hAnsi="Times New Roman" w:cs="Times New Roman"/>
          <w:color w:val="222222"/>
          <w:kern w:val="0"/>
          <w14:ligatures w14:val="none"/>
        </w:rPr>
        <w:br/>
        <w:t>- Mr. Glick: The decision should begin with an assessment of what is historically significant about the building. He also discussed elements of the historic tax credit program.</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What should an owner learn first from the Planning Office?</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Ms. Crane: The Planning Department offers free pre-application meetings that can include representatives from several relevant departments. Owners should meet early and arrive with as clear a project vision as possible, allowing the department to ensure that the appropriate staff are present.</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What are some early warning signs of an expensive or challenging project?</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Mr. Glick: Evaluate the original quality of the building, the level of maintenance it has received, and its current condition.</w:t>
      </w:r>
      <w:r w:rsidRPr="00DD25BB">
        <w:rPr>
          <w:rFonts w:ascii="Times New Roman" w:eastAsia="Times New Roman" w:hAnsi="Times New Roman" w:cs="Times New Roman"/>
          <w:color w:val="222222"/>
          <w:kern w:val="0"/>
          <w14:ligatures w14:val="none"/>
        </w:rPr>
        <w:br/>
        <w:t>- Ms. Duke: Water damage and poor structural integrity can make a project particularly costly.</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b/>
          <w:bCs/>
          <w:color w:val="222222"/>
          <w:kern w:val="0"/>
          <w14:ligatures w14:val="none"/>
        </w:rPr>
        <w:t>Q: How can a prospective buyer evaluate a building before owning it?</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Ms. Crane: Prospective purchasers are welcome to have an initial meeting with the Planning Department, although staff may be limited in what they can share with someone who does not own the property. It may be more helpful for the seller to hold a planning meeting and provide that information to potential buyers, reducing unknowns during the purchase process.</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lastRenderedPageBreak/>
        <w:t>Q: What should a building owner bring to a pre-application meeting?</w:t>
      </w:r>
      <w:r w:rsidRPr="00DD25BB">
        <w:rPr>
          <w:rFonts w:ascii="Times New Roman" w:eastAsia="Times New Roman" w:hAnsi="Times New Roman" w:cs="Times New Roman"/>
          <w:color w:val="222222"/>
          <w:kern w:val="0"/>
          <w14:ligatures w14:val="none"/>
        </w:rPr>
        <w:br/>
      </w:r>
      <w:r w:rsidRPr="00DD25BB">
        <w:rPr>
          <w:rFonts w:ascii="Times New Roman" w:eastAsia="Times New Roman" w:hAnsi="Times New Roman" w:cs="Times New Roman"/>
          <w:color w:val="222222"/>
          <w:kern w:val="0"/>
          <w14:ligatures w14:val="none"/>
        </w:rPr>
        <w:br/>
        <w:t>- Ms. Crane: Bring as much information as possible about the intended project, including the type of building and use envisioned. The department can then bring the appropriate personnel into the meeting.</w:t>
      </w:r>
    </w:p>
    <w:p w:rsidR="00DD25BB" w:rsidRPr="00DD25BB" w:rsidRDefault="00DD25BB" w:rsidP="00DD25BB">
      <w:pPr>
        <w:rPr>
          <w:rFonts w:ascii="Times New Roman" w:eastAsia="Times New Roman" w:hAnsi="Times New Roman" w:cs="Times New Roman"/>
          <w:kern w:val="0"/>
          <w14:ligatures w14:val="none"/>
        </w:rPr>
      </w:pPr>
    </w:p>
    <w:p w:rsidR="005F0562" w:rsidRDefault="005F0562"/>
    <w:sectPr w:rsidR="005F05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217"/>
    <w:rsid w:val="00184A6D"/>
    <w:rsid w:val="002235BB"/>
    <w:rsid w:val="00296E3B"/>
    <w:rsid w:val="00425B8C"/>
    <w:rsid w:val="00472034"/>
    <w:rsid w:val="005F0562"/>
    <w:rsid w:val="00743CA5"/>
    <w:rsid w:val="00867217"/>
    <w:rsid w:val="009231C6"/>
    <w:rsid w:val="009C6E50"/>
    <w:rsid w:val="00AF2132"/>
    <w:rsid w:val="00B31EB7"/>
    <w:rsid w:val="00CC061D"/>
    <w:rsid w:val="00DD2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3BB04E3"/>
  <w15:chartTrackingRefBased/>
  <w15:docId w15:val="{FE470352-FEE3-6A47-9ECF-50F6940D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67217"/>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867217"/>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867217"/>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217"/>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867217"/>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867217"/>
    <w:rPr>
      <w:rFonts w:ascii="Times New Roman" w:eastAsia="Times New Roman" w:hAnsi="Times New Roman" w:cs="Times New Roman"/>
      <w:b/>
      <w:bCs/>
      <w:kern w:val="0"/>
      <w:sz w:val="27"/>
      <w:szCs w:val="27"/>
      <w14:ligatures w14:val="none"/>
    </w:rPr>
  </w:style>
  <w:style w:type="paragraph" w:customStyle="1" w:styleId="isselectedend">
    <w:name w:val="isselectedend"/>
    <w:basedOn w:val="Normal"/>
    <w:rsid w:val="00867217"/>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67217"/>
    <w:rPr>
      <w:b/>
      <w:bCs/>
    </w:rPr>
  </w:style>
  <w:style w:type="paragraph" w:styleId="NormalWeb">
    <w:name w:val="Normal (Web)"/>
    <w:basedOn w:val="Normal"/>
    <w:uiPriority w:val="99"/>
    <w:semiHidden/>
    <w:unhideWhenUsed/>
    <w:rsid w:val="00867217"/>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9C6E50"/>
    <w:rPr>
      <w:color w:val="0563C1" w:themeColor="hyperlink"/>
      <w:u w:val="single"/>
    </w:rPr>
  </w:style>
  <w:style w:type="character" w:styleId="UnresolvedMention">
    <w:name w:val="Unresolved Mention"/>
    <w:basedOn w:val="DefaultParagraphFont"/>
    <w:uiPriority w:val="99"/>
    <w:semiHidden/>
    <w:unhideWhenUsed/>
    <w:rsid w:val="009C6E50"/>
    <w:rPr>
      <w:color w:val="605E5C"/>
      <w:shd w:val="clear" w:color="auto" w:fill="E1DFDD"/>
    </w:rPr>
  </w:style>
  <w:style w:type="character" w:styleId="FollowedHyperlink">
    <w:name w:val="FollowedHyperlink"/>
    <w:basedOn w:val="DefaultParagraphFont"/>
    <w:uiPriority w:val="99"/>
    <w:semiHidden/>
    <w:unhideWhenUsed/>
    <w:rsid w:val="009C6E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590210">
      <w:bodyDiv w:val="1"/>
      <w:marLeft w:val="0"/>
      <w:marRight w:val="0"/>
      <w:marTop w:val="0"/>
      <w:marBottom w:val="0"/>
      <w:divBdr>
        <w:top w:val="none" w:sz="0" w:space="0" w:color="auto"/>
        <w:left w:val="none" w:sz="0" w:space="0" w:color="auto"/>
        <w:bottom w:val="none" w:sz="0" w:space="0" w:color="auto"/>
        <w:right w:val="none" w:sz="0" w:space="0" w:color="auto"/>
      </w:divBdr>
      <w:divsChild>
        <w:div w:id="1425373118">
          <w:marLeft w:val="0"/>
          <w:marRight w:val="0"/>
          <w:marTop w:val="0"/>
          <w:marBottom w:val="0"/>
          <w:divBdr>
            <w:top w:val="none" w:sz="0" w:space="0" w:color="auto"/>
            <w:left w:val="none" w:sz="0" w:space="0" w:color="auto"/>
            <w:bottom w:val="none" w:sz="0" w:space="0" w:color="auto"/>
            <w:right w:val="none" w:sz="0" w:space="0" w:color="auto"/>
          </w:divBdr>
          <w:divsChild>
            <w:div w:id="104983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3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797</Words>
  <Characters>4546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Selway</dc:creator>
  <cp:keywords/>
  <dc:description/>
  <cp:lastModifiedBy>Veronica Selway</cp:lastModifiedBy>
  <cp:revision>2</cp:revision>
  <dcterms:created xsi:type="dcterms:W3CDTF">2026-09-08T17:23:00Z</dcterms:created>
  <dcterms:modified xsi:type="dcterms:W3CDTF">2026-09-08T17:23:00Z</dcterms:modified>
</cp:coreProperties>
</file>