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7217" w:rsidRPr="00AF2132" w:rsidRDefault="00867217" w:rsidP="00AF2132">
      <w:pPr>
        <w:spacing w:before="100" w:beforeAutospacing="1" w:after="100" w:afterAutospacing="1"/>
        <w:jc w:val="center"/>
        <w:outlineLvl w:val="0"/>
        <w:rPr>
          <w:rFonts w:ascii="Times New Roman" w:eastAsia="Times New Roman" w:hAnsi="Times New Roman" w:cs="Times New Roman"/>
          <w:kern w:val="36"/>
          <w:sz w:val="32"/>
          <w:szCs w:val="32"/>
          <w14:ligatures w14:val="none"/>
        </w:rPr>
      </w:pPr>
      <w:r w:rsidRPr="00AF2132">
        <w:rPr>
          <w:rFonts w:ascii="Times New Roman" w:eastAsia="Times New Roman" w:hAnsi="Times New Roman" w:cs="Times New Roman"/>
          <w:kern w:val="36"/>
          <w:sz w:val="32"/>
          <w:szCs w:val="32"/>
          <w14:ligatures w14:val="none"/>
        </w:rPr>
        <w:t>Summary of Second Story Housing Hub Event</w:t>
      </w:r>
    </w:p>
    <w:p w:rsidR="00867217" w:rsidRPr="00867217" w:rsidRDefault="00867217" w:rsidP="00AF2132">
      <w:pPr>
        <w:spacing w:before="100" w:beforeAutospacing="1" w:after="100" w:afterAutospacing="1"/>
        <w:jc w:val="center"/>
        <w:outlineLvl w:val="1"/>
        <w:rPr>
          <w:rFonts w:ascii="Times New Roman" w:eastAsia="Times New Roman" w:hAnsi="Times New Roman" w:cs="Times New Roman"/>
          <w:b/>
          <w:bCs/>
          <w:kern w:val="0"/>
          <w:sz w:val="48"/>
          <w:szCs w:val="48"/>
          <w14:ligatures w14:val="none"/>
        </w:rPr>
      </w:pPr>
      <w:r w:rsidRPr="00867217">
        <w:rPr>
          <w:rFonts w:ascii="Times New Roman" w:eastAsia="Times New Roman" w:hAnsi="Times New Roman" w:cs="Times New Roman"/>
          <w:b/>
          <w:bCs/>
          <w:kern w:val="0"/>
          <w:sz w:val="48"/>
          <w:szCs w:val="48"/>
          <w14:ligatures w14:val="none"/>
        </w:rPr>
        <w:t>Is My Building a Housing Opportunity?</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Converting the upper floors of existing buildings into housing can create valuable new housing opportunities while preserving Butte’s historic building stock. However, successful redevelopment begins with understanding the condition of the building, identifying the appropriate housing market, and assembling the right team.</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Preventing Building Deterioration</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Deterioration mitigation can be one of the largest cost factors in building renovation and ongoing maintenance. For that reason, prevention is critical—even if you are not yet planning to renovate vacant upper floors.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Water intrusion and damage caused by rodents and birds are two of the most common sources of deterioration in vacant or underutilized buildings. Keeping roofs, windows, and other openings secure and watertight can prevent significant damage and reduce future renovation costs.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Architects noted that, from a structural standpoint, converting many older buildings to housing can actually be easier than converting newer buildings, depending on the building’s existing construction and layout.</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What Type of Housing Is Right for My Building?</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Building owners should carefully consider what type of housing best fits their building, the surrounding neighborhood, and the potential market. Butte-Silver Bow does not currently have the same affordable-housing mandates found in some other communities. As a result, owners have greater flexibility in determining the type of housing that makes the most sense for their property.</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It is important to weigh potential income against renovation and operating costs. Several options should be considered:</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b/>
          <w:bCs/>
          <w:kern w:val="0"/>
          <w14:ligatures w14:val="none"/>
        </w:rPr>
        <w:t>1. Low-Income Housing</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Low-income housing may qualify for government subsidies and programs, including Section 8 vouchers. Depending on the project and funding sources, accessibility and ADA requirements may also need to be considered.</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b/>
          <w:bCs/>
          <w:kern w:val="0"/>
          <w14:ligatures w14:val="none"/>
        </w:rPr>
        <w:t>2. Workforce Housing</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Workforce housing is affordable housing targeted toward middle-income households whose earnings are too high to qualify for traditional government subsidies but may still be insufficient to comfortably purchase or rent housing near their jobs at current market rates.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b/>
          <w:bCs/>
          <w:kern w:val="0"/>
          <w14:ligatures w14:val="none"/>
        </w:rPr>
        <w:lastRenderedPageBreak/>
        <w:t>3. Luxury Condominiums or Lofts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Luxury condos or lofts may, in some circumstances, have lower renovation costs and fewer operational challenges, depending on the building’s design and the proposed use. However, owners should carefully consider the amenities and services expected by this market, which may include secure parking, elevators, outdoor space, upgraded finishes, and other features.</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Build the Right Team</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One of the most important steps is assembling a qualified team that can help determine what type of housing is most appropriate for the building and the owner’s budget. This team may include an architect, contractor, developer, and lender.</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Once the team is assembled, walk through the building together. Some preconstruction investigation and exploration may be necessary to identify potential problems and minimize unforeseen costs.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more information you and your team have about the building and the proposed project, the fewer surprises are likely to arise during construction. Clearly communicate your vision, but remain open to suggestions. Experienced professionals may identify alternative approaches or solutions that can save both time and money.</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Ask questions throughout the process. The better you understand the project, the more confident you will be in the decisions being made and in the team you have assembled.</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Consider a Brownfield Assessment Early On</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Even if you are not yet certain that you will renovate your building, one of the first steps to consider is applying for a Brownfield Assessment.</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assessment is provided at no cost to the building owner; however, the approval process can take up to a year. Once the assessment is completed, owners may be eligible to apply for grants and low-cost loans that can help offset the mitigation costs.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 xml:space="preserve">Beginning this process early can help identify potential environmental issues before significant money is invested in a renovation. This assessment can be beneficial in the event that you </w:t>
      </w:r>
      <w:proofErr w:type="spellStart"/>
      <w:r w:rsidRPr="00867217">
        <w:rPr>
          <w:rFonts w:ascii="Times New Roman" w:eastAsia="Times New Roman" w:hAnsi="Times New Roman" w:cs="Times New Roman"/>
          <w:kern w:val="0"/>
          <w14:ligatures w14:val="none"/>
        </w:rPr>
        <w:t>wan</w:t>
      </w:r>
      <w:proofErr w:type="spellEnd"/>
      <w:r w:rsidRPr="00867217">
        <w:rPr>
          <w:rFonts w:ascii="Times New Roman" w:eastAsia="Times New Roman" w:hAnsi="Times New Roman" w:cs="Times New Roman"/>
          <w:kern w:val="0"/>
          <w14:ligatures w14:val="none"/>
        </w:rPr>
        <w:t xml:space="preserve"> to sell the property at a later date. </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Work with Butte-Silver Bow Planning and Permitting</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next step should be to contact the Butte-Silver Bow Planning and Permitting offices.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department can arrange a planning meeting with the building owner, project team, and appropriate department representatives. This meeting can help owners navigate the permitting process and better understand what is allowed under current regulations.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lastRenderedPageBreak/>
        <w:t>Planning staff can also review the proposed project and explain what documentation will be required, what permits may be necessary, and what other considerations should be addressed. Engaging with the department early can help prevent costly delays and changes later in the renovation process.</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Engage the Historic Preservation Office Early</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Historic Preservation Office can also be an important resource during the planning stage. Staff can provide guidance on what historic elements should be preserved and how much of the building’s historic character should be maintained.</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Building owners are not necessarily required to preserve every historic aspect of a building. However, choosing not to preserve qualifying historic features may prevent the project from taking advantage of certain historic tax credits and grant opportunities.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Historic Preservation Office also administers federal and state grant programs that may help owners finance eligible renovation projects.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URA grants may be combined with STARA grants, potentially providing assistance of up to 25% of eligible renovation costs, depending on program requirements and project eligibility.</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Utilize the Small Business Development Center</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Small Business Development Center at BLDC/Headwaters RC&amp;D can provide valuable assistance with project budgeting, financial planning, and preparation of financial information to present to lending institutions.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Having a realistic project budget and a well-developed financial plan can significantly improve an owner's ability to evaluate the feasibility of a renovation and secure financing.</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t>Policy Changes to Watch</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There are two policy developments on the horizon that building owners should monitor.</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b/>
          <w:bCs/>
          <w:kern w:val="0"/>
          <w14:ligatures w14:val="none"/>
        </w:rPr>
        <w:t>Montana Historic Tax Credits</w:t>
      </w:r>
      <w:r>
        <w:rPr>
          <w:rFonts w:ascii="Times New Roman" w:eastAsia="Times New Roman" w:hAnsi="Times New Roman" w:cs="Times New Roman"/>
          <w:kern w:val="0"/>
          <w14:ligatures w14:val="none"/>
        </w:rPr>
        <w:t xml:space="preserve"> - </w:t>
      </w:r>
      <w:r w:rsidRPr="00867217">
        <w:rPr>
          <w:rFonts w:ascii="Times New Roman" w:eastAsia="Times New Roman" w:hAnsi="Times New Roman" w:cs="Times New Roman"/>
          <w:kern w:val="0"/>
          <w14:ligatures w14:val="none"/>
        </w:rPr>
        <w:t>The Montana Legislature is considering potential increases to Montana’s historic tax credits and related incentives. Historic tax credits can also potentially be sold or transferred to other investors, creating additional capital that can be reinvested into a renovation project.</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b/>
          <w:bCs/>
          <w:kern w:val="0"/>
          <w14:ligatures w14:val="none"/>
        </w:rPr>
        <w:t>Butte-Silver Bow Zoning Changes</w:t>
      </w:r>
      <w:r>
        <w:rPr>
          <w:rFonts w:ascii="Times New Roman" w:eastAsia="Times New Roman" w:hAnsi="Times New Roman" w:cs="Times New Roman"/>
          <w:b/>
          <w:bCs/>
          <w:kern w:val="0"/>
          <w14:ligatures w14:val="none"/>
        </w:rPr>
        <w:t xml:space="preserve"> - </w:t>
      </w:r>
      <w:r w:rsidRPr="00867217">
        <w:rPr>
          <w:rFonts w:ascii="Times New Roman" w:eastAsia="Times New Roman" w:hAnsi="Times New Roman" w:cs="Times New Roman"/>
          <w:kern w:val="0"/>
          <w14:ligatures w14:val="none"/>
        </w:rPr>
        <w:t>Butte-Silver Bow is currently reviewing and considering changes to the city's zoning regulations. Potential changes could create greater opportunities for properties that combine commercial and residential uses.</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The city is also considering changes to minimum lot-size requirements in certain areas. These changes could potentially make it easier to permit duplexes and accessory dwelling units (ADUs) on some properties.</w:t>
      </w:r>
    </w:p>
    <w:p w:rsidR="00867217" w:rsidRPr="00867217" w:rsidRDefault="00867217" w:rsidP="0086721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867217">
        <w:rPr>
          <w:rFonts w:ascii="Times New Roman" w:eastAsia="Times New Roman" w:hAnsi="Times New Roman" w:cs="Times New Roman"/>
          <w:b/>
          <w:bCs/>
          <w:kern w:val="0"/>
          <w:sz w:val="27"/>
          <w:szCs w:val="27"/>
          <w14:ligatures w14:val="none"/>
        </w:rPr>
        <w:lastRenderedPageBreak/>
        <w:t>The Bottom Line</w:t>
      </w:r>
    </w:p>
    <w:p w:rsidR="00867217" w:rsidRPr="00867217" w:rsidRDefault="00867217" w:rsidP="00867217">
      <w:pPr>
        <w:spacing w:before="100" w:beforeAutospacing="1" w:after="100" w:afterAutospacing="1"/>
        <w:rPr>
          <w:rFonts w:ascii="Times New Roman" w:eastAsia="Times New Roman" w:hAnsi="Times New Roman" w:cs="Times New Roman"/>
          <w:kern w:val="0"/>
          <w14:ligatures w14:val="none"/>
        </w:rPr>
      </w:pPr>
      <w:r w:rsidRPr="00867217">
        <w:rPr>
          <w:rFonts w:ascii="Times New Roman" w:eastAsia="Times New Roman" w:hAnsi="Times New Roman" w:cs="Times New Roman"/>
          <w:kern w:val="0"/>
          <w14:ligatures w14:val="none"/>
        </w:rPr>
        <w:t>Turning an existing commercial building into housing requires careful planning, but building owners do not have to navigate the process alone. The right team of professionals, combined with early conversations with local planning, preservation, environmental, and financing resources, can help identify opportunities, reduce unexpected costs, and determine whether a building is a viable housing opportunity.</w:t>
      </w:r>
    </w:p>
    <w:p w:rsidR="00867217" w:rsidRDefault="00867217" w:rsidP="00867217">
      <w:pPr>
        <w:spacing w:before="100" w:beforeAutospacing="1" w:after="100" w:afterAutospacing="1"/>
        <w:rPr>
          <w:rFonts w:ascii="Times New Roman" w:eastAsia="Times New Roman" w:hAnsi="Times New Roman" w:cs="Times New Roman"/>
          <w:b/>
          <w:bCs/>
          <w:kern w:val="0"/>
          <w14:ligatures w14:val="none"/>
        </w:rPr>
      </w:pPr>
      <w:r w:rsidRPr="00867217">
        <w:rPr>
          <w:rFonts w:ascii="Times New Roman" w:eastAsia="Times New Roman" w:hAnsi="Times New Roman" w:cs="Times New Roman"/>
          <w:b/>
          <w:bCs/>
          <w:kern w:val="0"/>
          <w14:ligatures w14:val="none"/>
        </w:rPr>
        <w:t>Start early. Ask questions. Build the right team. And gather as much information as possible before beginning construction.</w:t>
      </w:r>
    </w:p>
    <w:p w:rsidR="00B31EB7" w:rsidRDefault="00B31EB7" w:rsidP="00867217">
      <w:pPr>
        <w:spacing w:before="100" w:beforeAutospacing="1" w:after="100" w:afterAutospacing="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____________________________________________________________________________</w:t>
      </w:r>
    </w:p>
    <w:p w:rsidR="005F0562" w:rsidRDefault="005F0562" w:rsidP="00867217">
      <w:pPr>
        <w:spacing w:before="100" w:beforeAutospacing="1" w:after="100" w:afterAutospacing="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EXPERT PANELISTS</w:t>
      </w:r>
    </w:p>
    <w:p w:rsidR="009C6E50" w:rsidRDefault="005F0562" w:rsidP="00867217">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High Plains Ar</w:t>
      </w:r>
      <w:r w:rsidR="009C6E50">
        <w:rPr>
          <w:rFonts w:ascii="Times New Roman" w:eastAsia="Times New Roman" w:hAnsi="Times New Roman" w:cs="Times New Roman"/>
          <w:b/>
          <w:bCs/>
          <w:kern w:val="0"/>
          <w14:ligatures w14:val="none"/>
        </w:rPr>
        <w:t xml:space="preserve">chitects - </w:t>
      </w:r>
      <w:r w:rsidR="009C6E50" w:rsidRPr="009C6E50">
        <w:rPr>
          <w:rFonts w:ascii="Times New Roman" w:eastAsia="Times New Roman" w:hAnsi="Times New Roman" w:cs="Times New Roman"/>
          <w:kern w:val="0"/>
          <w14:ligatures w14:val="none"/>
        </w:rPr>
        <w:fldChar w:fldCharType="begin"/>
      </w:r>
      <w:r w:rsidR="009C6E50" w:rsidRPr="009C6E50">
        <w:rPr>
          <w:rFonts w:ascii="Times New Roman" w:eastAsia="Times New Roman" w:hAnsi="Times New Roman" w:cs="Times New Roman"/>
          <w:kern w:val="0"/>
          <w14:ligatures w14:val="none"/>
        </w:rPr>
        <w:instrText>HYPERLINK "</w:instrText>
      </w:r>
      <w:r w:rsidR="009C6E50" w:rsidRPr="009C6E50">
        <w:rPr>
          <w:rFonts w:ascii="Times New Roman" w:eastAsia="Times New Roman" w:hAnsi="Times New Roman" w:cs="Times New Roman"/>
          <w:kern w:val="0"/>
          <w14:ligatures w14:val="none"/>
        </w:rPr>
        <w:instrText>https://www.highplainsarchitects.com</w:instrText>
      </w:r>
      <w:r w:rsidR="009C6E50" w:rsidRPr="009C6E50">
        <w:rPr>
          <w:rFonts w:ascii="Times New Roman" w:eastAsia="Times New Roman" w:hAnsi="Times New Roman" w:cs="Times New Roman"/>
          <w:kern w:val="0"/>
          <w14:ligatures w14:val="none"/>
        </w:rPr>
        <w:instrText>"</w:instrText>
      </w:r>
      <w:r w:rsidR="009C6E50" w:rsidRPr="009C6E50">
        <w:rPr>
          <w:rFonts w:ascii="Times New Roman" w:eastAsia="Times New Roman" w:hAnsi="Times New Roman" w:cs="Times New Roman"/>
          <w:kern w:val="0"/>
          <w14:ligatures w14:val="none"/>
        </w:rPr>
        <w:fldChar w:fldCharType="separate"/>
      </w:r>
      <w:r w:rsidR="009C6E50" w:rsidRPr="009C6E50">
        <w:rPr>
          <w:rStyle w:val="Hyperlink"/>
          <w:rFonts w:ascii="Times New Roman" w:eastAsia="Times New Roman" w:hAnsi="Times New Roman" w:cs="Times New Roman"/>
          <w:kern w:val="0"/>
          <w14:ligatures w14:val="none"/>
        </w:rPr>
        <w:t>https://www.highplainsarchitects.com</w:t>
      </w:r>
      <w:r w:rsidR="009C6E50" w:rsidRPr="009C6E50">
        <w:rPr>
          <w:rFonts w:ascii="Times New Roman" w:eastAsia="Times New Roman" w:hAnsi="Times New Roman" w:cs="Times New Roman"/>
          <w:kern w:val="0"/>
          <w14:ligatures w14:val="none"/>
        </w:rPr>
        <w:fldChar w:fldCharType="end"/>
      </w:r>
      <w:r w:rsidR="009C6E50" w:rsidRPr="009C6E50">
        <w:rPr>
          <w:rFonts w:ascii="Times New Roman" w:eastAsia="Times New Roman" w:hAnsi="Times New Roman" w:cs="Times New Roman"/>
          <w:kern w:val="0"/>
          <w14:ligatures w14:val="none"/>
        </w:rPr>
        <w:br/>
        <w:t>Ed Glick, president and Virginia Duke, Director of Business Operations</w:t>
      </w:r>
    </w:p>
    <w:p w:rsidR="005F0562" w:rsidRDefault="009C6E50" w:rsidP="00867217">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b/>
          <w:bCs/>
          <w:kern w:val="0"/>
          <w14:ligatures w14:val="none"/>
        </w:rPr>
        <w:t>BSB Planning Department</w:t>
      </w:r>
      <w:r>
        <w:rPr>
          <w:rFonts w:ascii="Times New Roman" w:eastAsia="Times New Roman" w:hAnsi="Times New Roman" w:cs="Times New Roman"/>
          <w:kern w:val="0"/>
          <w14:ligatures w14:val="none"/>
        </w:rPr>
        <w:t xml:space="preserve"> </w:t>
      </w:r>
      <w:r w:rsidR="00B31EB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Julia Crain, Planning Department Director</w:t>
      </w:r>
    </w:p>
    <w:p w:rsidR="005F0562" w:rsidRDefault="009C6E50" w:rsidP="00867217">
      <w:pPr>
        <w:spacing w:before="100" w:beforeAutospacing="1" w:after="100" w:afterAutospacing="1"/>
        <w:rPr>
          <w:rFonts w:ascii="Times New Roman" w:eastAsia="Times New Roman" w:hAnsi="Times New Roman" w:cs="Times New Roman"/>
          <w:b/>
          <w:bCs/>
          <w:kern w:val="0"/>
          <w14:ligatures w14:val="none"/>
        </w:rPr>
      </w:pPr>
      <w:r w:rsidRPr="009C6E50">
        <w:rPr>
          <w:rFonts w:ascii="Times New Roman" w:eastAsia="Times New Roman" w:hAnsi="Times New Roman" w:cs="Times New Roman"/>
          <w:b/>
          <w:bCs/>
          <w:kern w:val="0"/>
          <w14:ligatures w14:val="none"/>
        </w:rPr>
        <w:t xml:space="preserve">Historic Preservation </w:t>
      </w:r>
      <w:r>
        <w:rPr>
          <w:rFonts w:ascii="Times New Roman" w:eastAsia="Times New Roman" w:hAnsi="Times New Roman" w:cs="Times New Roman"/>
          <w:b/>
          <w:bCs/>
          <w:kern w:val="0"/>
          <w14:ligatures w14:val="none"/>
        </w:rPr>
        <w:t>-</w:t>
      </w:r>
      <w:r>
        <w:rPr>
          <w:rFonts w:ascii="Times New Roman" w:eastAsia="Times New Roman" w:hAnsi="Times New Roman" w:cs="Times New Roman"/>
          <w:kern w:val="0"/>
          <w14:ligatures w14:val="none"/>
        </w:rPr>
        <w:t xml:space="preserve"> Kate McCourt, Historic Preservation Officer</w:t>
      </w:r>
    </w:p>
    <w:p w:rsidR="009C6E50" w:rsidRDefault="009C6E50" w:rsidP="00867217">
      <w:pPr>
        <w:spacing w:before="100" w:beforeAutospacing="1" w:after="100" w:afterAutospacing="1"/>
        <w:rPr>
          <w:rFonts w:ascii="Times New Roman" w:eastAsia="Times New Roman" w:hAnsi="Times New Roman" w:cs="Times New Roman"/>
          <w:b/>
          <w:bCs/>
          <w:kern w:val="0"/>
          <w14:ligatures w14:val="none"/>
        </w:rPr>
      </w:pPr>
    </w:p>
    <w:p w:rsidR="005F0562" w:rsidRDefault="005F0562" w:rsidP="00867217">
      <w:pPr>
        <w:spacing w:before="100" w:beforeAutospacing="1" w:after="100" w:afterAutospacing="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RESOURCE TABLES </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BSB Planning Department</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Fire Marshall</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Brownfields</w:t>
      </w:r>
      <w:r w:rsidR="00B31EB7">
        <w:rPr>
          <w:rFonts w:ascii="Times New Roman" w:eastAsia="Times New Roman" w:hAnsi="Times New Roman" w:cs="Times New Roman"/>
          <w:kern w:val="0"/>
          <w14:ligatures w14:val="none"/>
        </w:rPr>
        <w:t xml:space="preserve"> </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C-PACE</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A&amp;E + SMA Design</w:t>
      </w:r>
    </w:p>
    <w:p w:rsidR="009C6E50" w:rsidRPr="009C6E50" w:rsidRDefault="009C6E50" w:rsidP="009C6E50">
      <w:pPr>
        <w:spacing w:before="100" w:beforeAutospacing="1" w:after="100" w:afterAutospacing="1"/>
        <w:rPr>
          <w:rFonts w:ascii="Times New Roman" w:eastAsia="Times New Roman" w:hAnsi="Times New Roman" w:cs="Times New Roman"/>
          <w:kern w:val="0"/>
          <w14:ligatures w14:val="none"/>
        </w:rPr>
      </w:pPr>
      <w:r w:rsidRPr="009C6E50">
        <w:rPr>
          <w:rFonts w:ascii="Times New Roman" w:eastAsia="Times New Roman" w:hAnsi="Times New Roman" w:cs="Times New Roman"/>
          <w:kern w:val="0"/>
          <w14:ligatures w14:val="none"/>
        </w:rPr>
        <w:t>High Plains Architects</w:t>
      </w:r>
    </w:p>
    <w:p w:rsidR="005F0562" w:rsidRDefault="005F0562" w:rsidP="00867217">
      <w:pPr>
        <w:spacing w:before="100" w:beforeAutospacing="1" w:after="100" w:afterAutospacing="1"/>
        <w:rPr>
          <w:rFonts w:ascii="Times New Roman" w:eastAsia="Times New Roman" w:hAnsi="Times New Roman" w:cs="Times New Roman"/>
          <w:b/>
          <w:bCs/>
          <w:kern w:val="0"/>
          <w14:ligatures w14:val="none"/>
        </w:rPr>
      </w:pPr>
    </w:p>
    <w:p w:rsidR="005F0562" w:rsidRPr="00867217" w:rsidRDefault="005F0562" w:rsidP="00867217">
      <w:pPr>
        <w:spacing w:before="100" w:beforeAutospacing="1" w:after="100" w:afterAutospacing="1"/>
        <w:rPr>
          <w:rFonts w:ascii="Times New Roman" w:eastAsia="Times New Roman" w:hAnsi="Times New Roman" w:cs="Times New Roman"/>
          <w:kern w:val="0"/>
          <w14:ligatures w14:val="none"/>
        </w:rPr>
      </w:pPr>
    </w:p>
    <w:p w:rsidR="005F0562" w:rsidRDefault="005F0562"/>
    <w:sectPr w:rsidR="005F0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17"/>
    <w:rsid w:val="00184A6D"/>
    <w:rsid w:val="002235BB"/>
    <w:rsid w:val="00296E3B"/>
    <w:rsid w:val="005F0562"/>
    <w:rsid w:val="00743CA5"/>
    <w:rsid w:val="00867217"/>
    <w:rsid w:val="009231C6"/>
    <w:rsid w:val="009C6E50"/>
    <w:rsid w:val="00AF2132"/>
    <w:rsid w:val="00B31EB7"/>
    <w:rsid w:val="00CC0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BB04E3"/>
  <w15:chartTrackingRefBased/>
  <w15:docId w15:val="{FE470352-FEE3-6A47-9ECF-50F6940D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7217"/>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867217"/>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867217"/>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21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86721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867217"/>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86721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67217"/>
    <w:rPr>
      <w:b/>
      <w:bCs/>
    </w:rPr>
  </w:style>
  <w:style w:type="paragraph" w:styleId="NormalWeb">
    <w:name w:val="Normal (Web)"/>
    <w:basedOn w:val="Normal"/>
    <w:uiPriority w:val="99"/>
    <w:semiHidden/>
    <w:unhideWhenUsed/>
    <w:rsid w:val="00867217"/>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C6E50"/>
    <w:rPr>
      <w:color w:val="0563C1" w:themeColor="hyperlink"/>
      <w:u w:val="single"/>
    </w:rPr>
  </w:style>
  <w:style w:type="character" w:styleId="UnresolvedMention">
    <w:name w:val="Unresolved Mention"/>
    <w:basedOn w:val="DefaultParagraphFont"/>
    <w:uiPriority w:val="99"/>
    <w:semiHidden/>
    <w:unhideWhenUsed/>
    <w:rsid w:val="009C6E50"/>
    <w:rPr>
      <w:color w:val="605E5C"/>
      <w:shd w:val="clear" w:color="auto" w:fill="E1DFDD"/>
    </w:rPr>
  </w:style>
  <w:style w:type="character" w:styleId="FollowedHyperlink">
    <w:name w:val="FollowedHyperlink"/>
    <w:basedOn w:val="DefaultParagraphFont"/>
    <w:uiPriority w:val="99"/>
    <w:semiHidden/>
    <w:unhideWhenUsed/>
    <w:rsid w:val="009C6E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3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Selway</dc:creator>
  <cp:keywords/>
  <dc:description/>
  <cp:lastModifiedBy>Veronica Selway</cp:lastModifiedBy>
  <cp:revision>5</cp:revision>
  <dcterms:created xsi:type="dcterms:W3CDTF">2026-09-04T16:54:00Z</dcterms:created>
  <dcterms:modified xsi:type="dcterms:W3CDTF">2026-09-08T16:25:00Z</dcterms:modified>
</cp:coreProperties>
</file>